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D91" w:rsidRDefault="006F7D91" w:rsidP="009D78D9">
      <w:pPr>
        <w:rPr>
          <w:rFonts w:ascii="Tahoma" w:hAnsi="Tahoma" w:cs="Tahoma"/>
          <w:b/>
          <w:sz w:val="24"/>
          <w:szCs w:val="24"/>
          <w:u w:val="single"/>
        </w:rPr>
      </w:pPr>
    </w:p>
    <w:p w:rsidR="004F0B34" w:rsidRPr="00A653F1" w:rsidRDefault="004F0B34" w:rsidP="00D64A65">
      <w:pPr>
        <w:jc w:val="center"/>
        <w:rPr>
          <w:rFonts w:ascii="Tahoma" w:hAnsi="Tahoma" w:cs="Tahoma"/>
          <w:b/>
          <w:sz w:val="24"/>
          <w:szCs w:val="24"/>
        </w:rPr>
      </w:pPr>
      <w:r w:rsidRPr="00610EB2">
        <w:rPr>
          <w:rFonts w:ascii="Tahoma" w:hAnsi="Tahoma" w:cs="Tahoma"/>
          <w:b/>
          <w:sz w:val="24"/>
          <w:szCs w:val="24"/>
        </w:rPr>
        <w:t>ANEXO V</w:t>
      </w:r>
      <w:r w:rsidR="00A653F1" w:rsidRPr="00610EB2">
        <w:rPr>
          <w:rFonts w:ascii="Tahoma" w:hAnsi="Tahoma" w:cs="Tahoma"/>
          <w:b/>
          <w:sz w:val="24"/>
          <w:szCs w:val="24"/>
        </w:rPr>
        <w:t>I</w:t>
      </w:r>
    </w:p>
    <w:p w:rsidR="004F0B34" w:rsidRDefault="004F0B34" w:rsidP="004F0B34">
      <w:pPr>
        <w:jc w:val="center"/>
        <w:rPr>
          <w:rFonts w:ascii="Tahoma" w:hAnsi="Tahoma" w:cs="Tahoma"/>
          <w:b/>
          <w:sz w:val="24"/>
          <w:szCs w:val="24"/>
        </w:rPr>
      </w:pPr>
    </w:p>
    <w:p w:rsidR="00827116" w:rsidRDefault="004F0B34" w:rsidP="004F0B34">
      <w:pPr>
        <w:jc w:val="center"/>
        <w:rPr>
          <w:rFonts w:ascii="Tahoma" w:hAnsi="Tahoma" w:cs="Tahoma"/>
          <w:b/>
          <w:sz w:val="24"/>
          <w:szCs w:val="24"/>
        </w:rPr>
      </w:pPr>
      <w:r w:rsidRPr="004F0B34">
        <w:rPr>
          <w:rFonts w:ascii="Tahoma" w:hAnsi="Tahoma" w:cs="Tahoma"/>
          <w:b/>
          <w:sz w:val="24"/>
          <w:szCs w:val="24"/>
        </w:rPr>
        <w:t>ALCANCE DE LA REVISIÓN DE LA CUENTA JUSTIFICATIVA POR EL AUDITOR DE CUENTAS</w:t>
      </w:r>
    </w:p>
    <w:p w:rsidR="00431016" w:rsidRPr="00844868" w:rsidRDefault="00431016" w:rsidP="00431016">
      <w:pPr>
        <w:rPr>
          <w:rFonts w:ascii="Tahoma" w:hAnsi="Tahoma" w:cs="Tahoma"/>
          <w:b/>
          <w:sz w:val="20"/>
          <w:szCs w:val="20"/>
        </w:rPr>
      </w:pPr>
    </w:p>
    <w:p w:rsidR="00996020" w:rsidRPr="007F783B" w:rsidRDefault="0073057F" w:rsidP="0073057F">
      <w:pPr>
        <w:jc w:val="both"/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 xml:space="preserve">1. </w:t>
      </w:r>
      <w:r w:rsidR="00A653F1" w:rsidRPr="008F5AC9">
        <w:rPr>
          <w:rFonts w:ascii="Tahoma" w:hAnsi="Tahoma" w:cs="Tahoma"/>
          <w:sz w:val="20"/>
          <w:szCs w:val="20"/>
        </w:rPr>
        <w:t>Revisión de la</w:t>
      </w:r>
      <w:r w:rsidR="00996020" w:rsidRPr="008F5AC9">
        <w:rPr>
          <w:rFonts w:ascii="Tahoma" w:hAnsi="Tahoma" w:cs="Tahoma"/>
          <w:sz w:val="20"/>
          <w:szCs w:val="20"/>
        </w:rPr>
        <w:t xml:space="preserve"> memoria económica del coste de las actividades realizadas, que contendrá como mínimo un estado representativo de los gastos incurridos en la realización de las actividades subvencionadas, debidamente</w:t>
      </w:r>
      <w:r w:rsidR="00996020" w:rsidRPr="007F783B">
        <w:rPr>
          <w:rFonts w:ascii="Tahoma" w:hAnsi="Tahoma" w:cs="Tahoma"/>
          <w:sz w:val="20"/>
          <w:szCs w:val="20"/>
        </w:rPr>
        <w:t xml:space="preserve"> agrupados, y, en su caso, las cantidades inicialmente presupuestadas y las desviaciones acaecidas. En los gastos de la actividad subvencionada se identificará además al acreedor, el documento, su importe, fecha de emisión y de pago y el importe imputado</w:t>
      </w:r>
      <w:r w:rsidR="007F783B">
        <w:rPr>
          <w:rFonts w:ascii="Tahoma" w:hAnsi="Tahoma" w:cs="Tahoma"/>
          <w:sz w:val="20"/>
          <w:szCs w:val="20"/>
        </w:rPr>
        <w:t>.</w:t>
      </w:r>
    </w:p>
    <w:p w:rsidR="00996020" w:rsidRPr="00844868" w:rsidRDefault="00996020" w:rsidP="00996020">
      <w:pPr>
        <w:jc w:val="both"/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 xml:space="preserve">La justificación de los gastos derivados de la ejecución de las actuaciones objeto de la subvención </w:t>
      </w:r>
      <w:r w:rsidRPr="008F5AC9">
        <w:rPr>
          <w:rFonts w:ascii="Tahoma" w:hAnsi="Tahoma" w:cs="Tahoma"/>
          <w:sz w:val="20"/>
          <w:szCs w:val="20"/>
        </w:rPr>
        <w:t>se realizará con la presentación de las facturas o cualquier otro documento de valor probatorio equivalente con validez en el tráfico jurídico mercantil o con eficacia administrativa.</w:t>
      </w:r>
      <w:r w:rsidR="00A653F1" w:rsidRPr="008F5AC9">
        <w:rPr>
          <w:rFonts w:ascii="Tahoma" w:hAnsi="Tahoma" w:cs="Tahoma"/>
          <w:sz w:val="20"/>
          <w:szCs w:val="20"/>
        </w:rPr>
        <w:t xml:space="preserve"> El auditor revisará dichos documentos originales, que serán custodiados por la entidad beneficiaria, pero no se presentarán con la justificación de la subvención.</w:t>
      </w:r>
    </w:p>
    <w:p w:rsidR="00D74E1B" w:rsidRPr="00844868" w:rsidRDefault="00996020" w:rsidP="00CC4E76">
      <w:pPr>
        <w:jc w:val="both"/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2</w:t>
      </w:r>
      <w:r w:rsidR="00D74E1B" w:rsidRPr="00844868">
        <w:rPr>
          <w:rFonts w:ascii="Tahoma" w:hAnsi="Tahoma" w:cs="Tahoma"/>
          <w:sz w:val="20"/>
          <w:szCs w:val="20"/>
        </w:rPr>
        <w:t>. Comprobar que los respectivos saldos de la memoria económica se corresponden con los efectuados.</w:t>
      </w:r>
      <w:r w:rsidR="0042630A" w:rsidRPr="00844868">
        <w:rPr>
          <w:rFonts w:ascii="Tahoma" w:hAnsi="Tahoma" w:cs="Tahoma"/>
          <w:sz w:val="20"/>
          <w:szCs w:val="20"/>
        </w:rPr>
        <w:t xml:space="preserve"> </w:t>
      </w:r>
    </w:p>
    <w:p w:rsidR="0051441C" w:rsidRPr="00844868" w:rsidRDefault="00A653F1" w:rsidP="00CC4E76">
      <w:pPr>
        <w:jc w:val="both"/>
        <w:rPr>
          <w:rFonts w:ascii="Tahoma" w:hAnsi="Tahoma" w:cs="Tahoma"/>
          <w:sz w:val="20"/>
          <w:szCs w:val="20"/>
        </w:rPr>
      </w:pPr>
      <w:r w:rsidRPr="008F5AC9">
        <w:rPr>
          <w:rFonts w:ascii="Tahoma" w:hAnsi="Tahoma" w:cs="Tahoma"/>
          <w:sz w:val="20"/>
          <w:szCs w:val="20"/>
        </w:rPr>
        <w:t xml:space="preserve">3. </w:t>
      </w:r>
      <w:r w:rsidR="0051441C" w:rsidRPr="008F5AC9">
        <w:rPr>
          <w:rFonts w:ascii="Tahoma" w:hAnsi="Tahoma" w:cs="Tahoma"/>
          <w:sz w:val="20"/>
          <w:szCs w:val="20"/>
        </w:rPr>
        <w:t>Solicitar</w:t>
      </w:r>
      <w:r w:rsidR="0051441C" w:rsidRPr="00844868">
        <w:rPr>
          <w:rFonts w:ascii="Tahoma" w:hAnsi="Tahoma" w:cs="Tahoma"/>
          <w:sz w:val="20"/>
          <w:szCs w:val="20"/>
        </w:rPr>
        <w:t xml:space="preserve"> al beneficiario una relación de las subvenciones percibidas y justificadas en el período para la misma finalidad. Solicitar los listados de los documentos utilizados para justificar los gastos incluidos en cada una de dichas subvenciones.</w:t>
      </w:r>
    </w:p>
    <w:p w:rsidR="0051441C" w:rsidRPr="00844868" w:rsidRDefault="00A653F1" w:rsidP="00CC4E76">
      <w:pPr>
        <w:jc w:val="both"/>
        <w:rPr>
          <w:rFonts w:ascii="Tahoma" w:hAnsi="Tahoma" w:cs="Tahoma"/>
          <w:sz w:val="20"/>
          <w:szCs w:val="20"/>
        </w:rPr>
      </w:pPr>
      <w:r w:rsidRPr="008F5AC9">
        <w:rPr>
          <w:rFonts w:ascii="Tahoma" w:hAnsi="Tahoma" w:cs="Tahoma"/>
          <w:sz w:val="20"/>
          <w:szCs w:val="20"/>
        </w:rPr>
        <w:t xml:space="preserve">4. </w:t>
      </w:r>
      <w:r w:rsidR="0051441C" w:rsidRPr="008F5AC9">
        <w:rPr>
          <w:rFonts w:ascii="Tahoma" w:hAnsi="Tahoma" w:cs="Tahoma"/>
          <w:sz w:val="20"/>
          <w:szCs w:val="20"/>
        </w:rPr>
        <w:t>Comprobar</w:t>
      </w:r>
      <w:r w:rsidR="0051441C" w:rsidRPr="00844868">
        <w:rPr>
          <w:rFonts w:ascii="Tahoma" w:hAnsi="Tahoma" w:cs="Tahoma"/>
          <w:sz w:val="20"/>
          <w:szCs w:val="20"/>
        </w:rPr>
        <w:t xml:space="preserve"> la cuantía de la imputación en cuestión en cada una de las facturas y documentos de pago presentados al efecto.</w:t>
      </w:r>
      <w:r w:rsidR="0042630A" w:rsidRPr="00844868">
        <w:rPr>
          <w:rFonts w:ascii="Tahoma" w:hAnsi="Tahoma" w:cs="Tahoma"/>
          <w:sz w:val="20"/>
          <w:szCs w:val="20"/>
        </w:rPr>
        <w:t xml:space="preserve"> La justificación del pago de los gastos se hará mediante justificante del movimiento de la cuenta bancaria o de la transferencia.</w:t>
      </w:r>
    </w:p>
    <w:p w:rsidR="0051441C" w:rsidRPr="00844868" w:rsidRDefault="0051441C" w:rsidP="00431016">
      <w:p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Para cada gasto y su correspondiente pago se comprobará:</w:t>
      </w:r>
    </w:p>
    <w:p w:rsidR="0051441C" w:rsidRPr="00844868" w:rsidRDefault="0051441C" w:rsidP="0051441C">
      <w:pPr>
        <w:pStyle w:val="Prrafodelist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Que el documento justificativo del gasto cumple los requisitos establecidos por la normativa actual.</w:t>
      </w:r>
    </w:p>
    <w:p w:rsidR="0051441C" w:rsidRPr="00844868" w:rsidRDefault="0051441C" w:rsidP="00BB372C">
      <w:pPr>
        <w:pStyle w:val="Prrafodelist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Que el gasto es elegible (naturaleza y periodo).</w:t>
      </w:r>
    </w:p>
    <w:p w:rsidR="00BB372C" w:rsidRPr="00844868" w:rsidRDefault="00BB372C" w:rsidP="00BB372C">
      <w:pPr>
        <w:pStyle w:val="Prrafodelist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Que el pago está realizado en forma y tiempo correcto.</w:t>
      </w:r>
    </w:p>
    <w:p w:rsidR="00BB372C" w:rsidRPr="00844868" w:rsidRDefault="00BB372C" w:rsidP="00BB372C">
      <w:pPr>
        <w:pStyle w:val="Prrafodelista"/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Que el gasto no se encuentra duplicado y, por lo tanto, no se ha incluido dos veces en la justificación.</w:t>
      </w:r>
    </w:p>
    <w:p w:rsidR="00BB372C" w:rsidRPr="00844868" w:rsidRDefault="00BB372C" w:rsidP="00BB372C">
      <w:p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En el caso de nóminas:</w:t>
      </w:r>
    </w:p>
    <w:p w:rsidR="00FB5455" w:rsidRPr="00844868" w:rsidRDefault="00BB372C" w:rsidP="00FB5455">
      <w:pPr>
        <w:pStyle w:val="Prrafodelista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Se deberán</w:t>
      </w:r>
      <w:r w:rsidR="00FB5455" w:rsidRPr="00844868">
        <w:rPr>
          <w:rFonts w:ascii="Tahoma" w:hAnsi="Tahoma" w:cs="Tahoma"/>
          <w:sz w:val="20"/>
          <w:szCs w:val="20"/>
        </w:rPr>
        <w:t xml:space="preserve"> cotejar las nóminas originales con la información establecida por el beneficiario en la memoria económica.</w:t>
      </w:r>
    </w:p>
    <w:p w:rsidR="00892C82" w:rsidRPr="00844868" w:rsidRDefault="00892C82" w:rsidP="00892C82">
      <w:pPr>
        <w:pStyle w:val="Prrafodelista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Comprobar el modelo 111 relativo al período de contratación del trabajador y el modelo 190 correspondie</w:t>
      </w:r>
      <w:r w:rsidR="00081418" w:rsidRPr="00844868">
        <w:rPr>
          <w:rFonts w:ascii="Tahoma" w:hAnsi="Tahoma" w:cs="Tahoma"/>
          <w:sz w:val="20"/>
          <w:szCs w:val="20"/>
        </w:rPr>
        <w:t xml:space="preserve">nte al año de contratación y </w:t>
      </w:r>
      <w:r w:rsidR="00996020">
        <w:rPr>
          <w:rFonts w:ascii="Tahoma" w:hAnsi="Tahoma" w:cs="Tahoma"/>
          <w:sz w:val="20"/>
          <w:szCs w:val="20"/>
        </w:rPr>
        <w:t xml:space="preserve">en la </w:t>
      </w:r>
      <w:r w:rsidR="00081418" w:rsidRPr="00844868">
        <w:rPr>
          <w:rFonts w:ascii="Tahoma" w:hAnsi="Tahoma" w:cs="Tahoma"/>
          <w:sz w:val="20"/>
          <w:szCs w:val="20"/>
        </w:rPr>
        <w:t>que</w:t>
      </w:r>
      <w:r w:rsidRPr="00844868">
        <w:rPr>
          <w:rFonts w:ascii="Tahoma" w:hAnsi="Tahoma" w:cs="Tahoma"/>
          <w:sz w:val="20"/>
          <w:szCs w:val="20"/>
        </w:rPr>
        <w:t xml:space="preserve"> figure el trabajador.</w:t>
      </w:r>
    </w:p>
    <w:p w:rsidR="00D64A65" w:rsidRDefault="00FB5455" w:rsidP="00D64A65">
      <w:pPr>
        <w:pStyle w:val="Prrafodelista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Verificar que los trabajadores están incluidos en la correspondiente Relación Nominal de Trabajadores (RNT).</w:t>
      </w:r>
    </w:p>
    <w:p w:rsidR="00F24B17" w:rsidRPr="00844868" w:rsidRDefault="00F24B17" w:rsidP="00CE1101">
      <w:pPr>
        <w:pStyle w:val="Prrafodelista"/>
        <w:rPr>
          <w:rFonts w:ascii="Tahoma" w:hAnsi="Tahoma" w:cs="Tahoma"/>
          <w:sz w:val="20"/>
          <w:szCs w:val="20"/>
        </w:rPr>
      </w:pPr>
      <w:bookmarkStart w:id="0" w:name="_GoBack"/>
      <w:bookmarkEnd w:id="0"/>
    </w:p>
    <w:p w:rsidR="009D78D9" w:rsidRPr="00844868" w:rsidRDefault="009D78D9" w:rsidP="009D78D9">
      <w:pPr>
        <w:ind w:left="360"/>
        <w:rPr>
          <w:rFonts w:ascii="Tahoma" w:hAnsi="Tahoma" w:cs="Tahoma"/>
          <w:sz w:val="20"/>
          <w:szCs w:val="20"/>
        </w:rPr>
      </w:pPr>
    </w:p>
    <w:p w:rsidR="00D64A65" w:rsidRPr="00844868" w:rsidRDefault="00D64A65" w:rsidP="00D64A65">
      <w:pPr>
        <w:rPr>
          <w:rFonts w:ascii="Tahoma" w:hAnsi="Tahoma" w:cs="Tahoma"/>
          <w:sz w:val="20"/>
          <w:szCs w:val="20"/>
        </w:rPr>
      </w:pPr>
    </w:p>
    <w:p w:rsidR="00892C82" w:rsidRPr="00844868" w:rsidRDefault="00FB5455" w:rsidP="00892C82">
      <w:pPr>
        <w:pStyle w:val="Prrafodelista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Comprobar que los Recibos de Liquidación de Cotizaciones (</w:t>
      </w:r>
      <w:r w:rsidR="002D25AB" w:rsidRPr="00844868">
        <w:rPr>
          <w:rFonts w:ascii="Tahoma" w:hAnsi="Tahoma" w:cs="Tahoma"/>
          <w:sz w:val="20"/>
          <w:szCs w:val="20"/>
        </w:rPr>
        <w:t>RLC)</w:t>
      </w:r>
      <w:r w:rsidRPr="00844868">
        <w:rPr>
          <w:rFonts w:ascii="Tahoma" w:hAnsi="Tahoma" w:cs="Tahoma"/>
          <w:sz w:val="20"/>
          <w:szCs w:val="20"/>
        </w:rPr>
        <w:t xml:space="preserve"> están ingresados en plazo.</w:t>
      </w:r>
    </w:p>
    <w:p w:rsidR="00892C82" w:rsidRPr="00844868" w:rsidRDefault="00081418" w:rsidP="00892C82">
      <w:pPr>
        <w:pStyle w:val="Prrafodelista"/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844868">
        <w:rPr>
          <w:rFonts w:ascii="Tahoma" w:hAnsi="Tahoma" w:cs="Tahoma"/>
          <w:sz w:val="20"/>
          <w:szCs w:val="20"/>
        </w:rPr>
        <w:t>Verificar la transferencia del importe de las nóminas.</w:t>
      </w:r>
    </w:p>
    <w:p w:rsidR="00892C82" w:rsidRPr="00844868" w:rsidRDefault="00A653F1" w:rsidP="00892C82">
      <w:pPr>
        <w:rPr>
          <w:rFonts w:ascii="Tahoma" w:hAnsi="Tahoma" w:cs="Tahoma"/>
          <w:sz w:val="20"/>
          <w:szCs w:val="20"/>
        </w:rPr>
      </w:pPr>
      <w:r w:rsidRPr="008F5AC9">
        <w:rPr>
          <w:rFonts w:ascii="Tahoma" w:hAnsi="Tahoma" w:cs="Tahoma"/>
          <w:sz w:val="20"/>
          <w:szCs w:val="20"/>
        </w:rPr>
        <w:t xml:space="preserve">5. </w:t>
      </w:r>
      <w:r w:rsidR="00892C82" w:rsidRPr="008F5AC9">
        <w:rPr>
          <w:rFonts w:ascii="Tahoma" w:hAnsi="Tahoma" w:cs="Tahoma"/>
          <w:sz w:val="20"/>
          <w:szCs w:val="20"/>
        </w:rPr>
        <w:t>Los gast</w:t>
      </w:r>
      <w:r w:rsidR="00892C82" w:rsidRPr="00844868">
        <w:rPr>
          <w:rFonts w:ascii="Tahoma" w:hAnsi="Tahoma" w:cs="Tahoma"/>
          <w:sz w:val="20"/>
          <w:szCs w:val="20"/>
        </w:rPr>
        <w:t>os relativos a dietas y desplazamientos se justificarán mediante la presentación de las correspondientes facturas.</w:t>
      </w:r>
    </w:p>
    <w:p w:rsidR="006E3D59" w:rsidRDefault="00A653F1" w:rsidP="00A653F1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 w:rsidRPr="008F5AC9">
        <w:rPr>
          <w:rFonts w:ascii="Tahoma" w:hAnsi="Tahoma" w:cs="Tahoma"/>
          <w:color w:val="000000" w:themeColor="text1"/>
          <w:sz w:val="20"/>
          <w:szCs w:val="20"/>
        </w:rPr>
        <w:t xml:space="preserve">6. </w:t>
      </w:r>
      <w:r w:rsidR="006E3D59" w:rsidRPr="008F5AC9">
        <w:rPr>
          <w:rFonts w:ascii="Tahoma" w:hAnsi="Tahoma" w:cs="Tahoma"/>
          <w:color w:val="000000" w:themeColor="text1"/>
          <w:sz w:val="20"/>
          <w:szCs w:val="20"/>
        </w:rPr>
        <w:t xml:space="preserve">En relación con los ingresos y cobros comprobación de la procedencia de los fondos, </w:t>
      </w:r>
      <w:r w:rsidRPr="008F5AC9">
        <w:rPr>
          <w:rFonts w:ascii="Tahoma" w:hAnsi="Tahoma" w:cs="Tahoma"/>
          <w:color w:val="000000" w:themeColor="text1"/>
          <w:sz w:val="20"/>
          <w:szCs w:val="20"/>
        </w:rPr>
        <w:t xml:space="preserve">del </w:t>
      </w:r>
      <w:r w:rsidR="006E3D59" w:rsidRPr="008F5AC9">
        <w:rPr>
          <w:rFonts w:ascii="Tahoma" w:hAnsi="Tahoma" w:cs="Tahoma"/>
          <w:color w:val="000000" w:themeColor="text1"/>
          <w:sz w:val="20"/>
          <w:szCs w:val="20"/>
        </w:rPr>
        <w:t>importe</w:t>
      </w:r>
      <w:r w:rsidRPr="008F5AC9">
        <w:rPr>
          <w:rFonts w:ascii="Tahoma" w:hAnsi="Tahoma" w:cs="Tahoma"/>
          <w:color w:val="000000" w:themeColor="text1"/>
          <w:sz w:val="20"/>
          <w:szCs w:val="20"/>
        </w:rPr>
        <w:t>,</w:t>
      </w:r>
      <w:r w:rsidR="006E3D59" w:rsidRPr="008F5AC9">
        <w:rPr>
          <w:rFonts w:ascii="Tahoma" w:hAnsi="Tahoma" w:cs="Tahoma"/>
          <w:color w:val="000000" w:themeColor="text1"/>
          <w:sz w:val="20"/>
          <w:szCs w:val="20"/>
        </w:rPr>
        <w:t xml:space="preserve"> así como la forma en la que se ha revertido en el proyecto.</w:t>
      </w:r>
      <w:r w:rsidR="006E3D59">
        <w:rPr>
          <w:rFonts w:ascii="Tahoma" w:hAnsi="Tahoma" w:cs="Tahoma"/>
          <w:color w:val="000000" w:themeColor="text1"/>
          <w:sz w:val="20"/>
          <w:szCs w:val="20"/>
        </w:rPr>
        <w:t xml:space="preserve"> </w:t>
      </w:r>
    </w:p>
    <w:p w:rsidR="00752C16" w:rsidRDefault="006E3D59" w:rsidP="00A653F1">
      <w:pPr>
        <w:jc w:val="both"/>
        <w:rPr>
          <w:rFonts w:ascii="Tahoma" w:hAnsi="Tahoma" w:cs="Tahoma"/>
          <w:color w:val="000000" w:themeColor="text1"/>
          <w:sz w:val="20"/>
          <w:szCs w:val="20"/>
        </w:rPr>
      </w:pPr>
      <w:r>
        <w:rPr>
          <w:rFonts w:ascii="Tahoma" w:hAnsi="Tahoma" w:cs="Tahoma"/>
          <w:color w:val="000000" w:themeColor="text1"/>
          <w:sz w:val="20"/>
          <w:szCs w:val="20"/>
        </w:rPr>
        <w:t xml:space="preserve">En el caso de cobro de cuotas </w:t>
      </w:r>
      <w:r w:rsidR="00752C16">
        <w:rPr>
          <w:rFonts w:ascii="Tahoma" w:hAnsi="Tahoma" w:cs="Tahoma"/>
          <w:color w:val="000000" w:themeColor="text1"/>
          <w:sz w:val="20"/>
          <w:szCs w:val="20"/>
        </w:rPr>
        <w:t xml:space="preserve">a los beneficiarios se deberá comprobar el documento donde se establece la cuota y el importe individual por beneficiario. </w:t>
      </w:r>
    </w:p>
    <w:p w:rsidR="00892C82" w:rsidRPr="006E3D59" w:rsidRDefault="00892C82" w:rsidP="00892C82">
      <w:pPr>
        <w:rPr>
          <w:rFonts w:ascii="Tahoma" w:hAnsi="Tahoma" w:cs="Tahoma"/>
          <w:color w:val="000000" w:themeColor="text1"/>
          <w:sz w:val="20"/>
          <w:szCs w:val="20"/>
        </w:rPr>
      </w:pPr>
    </w:p>
    <w:sectPr w:rsidR="00892C82" w:rsidRPr="006E3D59">
      <w:head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5E01" w:rsidRDefault="00585E01" w:rsidP="004F0B34">
      <w:pPr>
        <w:spacing w:after="0" w:line="240" w:lineRule="auto"/>
      </w:pPr>
      <w:r>
        <w:separator/>
      </w:r>
    </w:p>
  </w:endnote>
  <w:endnote w:type="continuationSeparator" w:id="0">
    <w:p w:rsidR="00585E01" w:rsidRDefault="00585E01" w:rsidP="004F0B3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5E01" w:rsidRDefault="00585E01" w:rsidP="004F0B34">
      <w:pPr>
        <w:spacing w:after="0" w:line="240" w:lineRule="auto"/>
      </w:pPr>
      <w:r>
        <w:separator/>
      </w:r>
    </w:p>
  </w:footnote>
  <w:footnote w:type="continuationSeparator" w:id="0">
    <w:p w:rsidR="00585E01" w:rsidRDefault="00585E01" w:rsidP="004F0B3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6F7D91" w:rsidRDefault="006F7D91">
    <w:pPr>
      <w:pStyle w:val="Encabezado"/>
    </w:pPr>
    <w:r w:rsidRPr="00FA41F6">
      <w:rPr>
        <w:noProof/>
        <w:lang w:eastAsia="es-ES"/>
      </w:rPr>
      <w:drawing>
        <wp:inline distT="0" distB="0" distL="0" distR="0" wp14:anchorId="7A3BAE9C" wp14:editId="5EA687AA">
          <wp:extent cx="5400040" cy="629285"/>
          <wp:effectExtent l="0" t="0" r="0" b="0"/>
          <wp:docPr id="1" name="Imagen 1" descr="C:\Users\rbm88e\Downloads\Membrete_Consejeria_Mujer_Corresponsab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m88e\Downloads\Membrete_Consejeria_Mujer_Corresponsab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040" cy="6292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4F0B34" w:rsidRDefault="004F0B34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DF4543"/>
    <w:multiLevelType w:val="hybridMultilevel"/>
    <w:tmpl w:val="AE86DF16"/>
    <w:lvl w:ilvl="0" w:tplc="50BE10E0">
      <w:start w:val="2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EC45FAB"/>
    <w:multiLevelType w:val="hybridMultilevel"/>
    <w:tmpl w:val="D88CEDA4"/>
    <w:lvl w:ilvl="0" w:tplc="2E1C4024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0E33A3"/>
    <w:multiLevelType w:val="hybridMultilevel"/>
    <w:tmpl w:val="C7F0E428"/>
    <w:lvl w:ilvl="0" w:tplc="651EB99E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14C3E82"/>
    <w:multiLevelType w:val="hybridMultilevel"/>
    <w:tmpl w:val="7C36923A"/>
    <w:lvl w:ilvl="0" w:tplc="50BE10E0">
      <w:start w:val="2"/>
      <w:numFmt w:val="bullet"/>
      <w:lvlText w:val="-"/>
      <w:lvlJc w:val="left"/>
      <w:pPr>
        <w:ind w:left="720" w:hanging="360"/>
      </w:pPr>
      <w:rPr>
        <w:rFonts w:ascii="Tahoma" w:eastAsia="Tahoma" w:hAnsi="Tahoma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5772266"/>
    <w:multiLevelType w:val="hybridMultilevel"/>
    <w:tmpl w:val="8BA6D4E2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7B22DCC"/>
    <w:multiLevelType w:val="hybridMultilevel"/>
    <w:tmpl w:val="D9C4F734"/>
    <w:lvl w:ilvl="0" w:tplc="11A08C1E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C9F37EA"/>
    <w:multiLevelType w:val="hybridMultilevel"/>
    <w:tmpl w:val="182237F8"/>
    <w:lvl w:ilvl="0" w:tplc="9AAAFE0C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D4A4866"/>
    <w:multiLevelType w:val="multilevel"/>
    <w:tmpl w:val="D88CEDA4"/>
    <w:lvl w:ilvl="0">
      <w:start w:val="1"/>
      <w:numFmt w:val="decimal"/>
      <w:lvlText w:val="%1."/>
      <w:lvlJc w:val="left"/>
      <w:pPr>
        <w:ind w:left="720" w:hanging="360"/>
      </w:pPr>
      <w:rPr>
        <w:rFonts w:ascii="Tahoma" w:eastAsiaTheme="minorHAnsi" w:hAnsi="Tahoma" w:cs="Tahoma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5"/>
  </w:num>
  <w:num w:numId="5">
    <w:abstractNumId w:val="6"/>
  </w:num>
  <w:num w:numId="6">
    <w:abstractNumId w:val="1"/>
  </w:num>
  <w:num w:numId="7">
    <w:abstractNumId w:val="7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116"/>
    <w:rsid w:val="00081418"/>
    <w:rsid w:val="000A5EA1"/>
    <w:rsid w:val="001F2B6E"/>
    <w:rsid w:val="002D25AB"/>
    <w:rsid w:val="00382B30"/>
    <w:rsid w:val="0042630A"/>
    <w:rsid w:val="00431016"/>
    <w:rsid w:val="0046148F"/>
    <w:rsid w:val="004F0B34"/>
    <w:rsid w:val="0051441C"/>
    <w:rsid w:val="00585E01"/>
    <w:rsid w:val="005B0E06"/>
    <w:rsid w:val="00610EB2"/>
    <w:rsid w:val="00676CCF"/>
    <w:rsid w:val="006E3D59"/>
    <w:rsid w:val="006F7D91"/>
    <w:rsid w:val="0073057F"/>
    <w:rsid w:val="00752C16"/>
    <w:rsid w:val="007F783B"/>
    <w:rsid w:val="00817EF3"/>
    <w:rsid w:val="00827116"/>
    <w:rsid w:val="00844868"/>
    <w:rsid w:val="00892C82"/>
    <w:rsid w:val="008F5AC9"/>
    <w:rsid w:val="00996020"/>
    <w:rsid w:val="009D78D9"/>
    <w:rsid w:val="00A653F1"/>
    <w:rsid w:val="00A7127D"/>
    <w:rsid w:val="00BB372C"/>
    <w:rsid w:val="00BE192A"/>
    <w:rsid w:val="00C94E43"/>
    <w:rsid w:val="00CC4E76"/>
    <w:rsid w:val="00CE1101"/>
    <w:rsid w:val="00D64A65"/>
    <w:rsid w:val="00D74E1B"/>
    <w:rsid w:val="00F24B17"/>
    <w:rsid w:val="00FB54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61D03F29-FAEC-4AC9-BC92-4E80AFE3C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F0B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F0B34"/>
  </w:style>
  <w:style w:type="paragraph" w:styleId="Piedepgina">
    <w:name w:val="footer"/>
    <w:basedOn w:val="Normal"/>
    <w:link w:val="PiedepginaCar"/>
    <w:uiPriority w:val="99"/>
    <w:unhideWhenUsed/>
    <w:rsid w:val="004F0B3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F0B34"/>
  </w:style>
  <w:style w:type="paragraph" w:styleId="Prrafodelista">
    <w:name w:val="List Paragraph"/>
    <w:basedOn w:val="Normal"/>
    <w:uiPriority w:val="34"/>
    <w:qFormat/>
    <w:rsid w:val="0051441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459</Words>
  <Characters>2528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AMOROS CARRILLO, MARIA JESUS</dc:creator>
  <cp:keywords/>
  <dc:description/>
  <cp:lastModifiedBy>AMOROS CARRILLO, MARIA JESUS</cp:lastModifiedBy>
  <cp:revision>6</cp:revision>
  <dcterms:created xsi:type="dcterms:W3CDTF">2024-07-08T16:43:00Z</dcterms:created>
  <dcterms:modified xsi:type="dcterms:W3CDTF">2024-07-30T12:20:00Z</dcterms:modified>
</cp:coreProperties>
</file>